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BE" w:rsidRDefault="007913BE" w:rsidP="007913BE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Le fonds vacances est un fonds de solidarité mis en place par l’association.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La base de facturation est la suivante :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*Le personnel d’exploitation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*Le personnel technique (cadre</w:t>
      </w:r>
      <w:r>
        <w:rPr>
          <w:b/>
          <w:bCs/>
          <w:color w:val="1F497D"/>
        </w:rPr>
        <w:t>s</w:t>
      </w:r>
      <w:r>
        <w:rPr>
          <w:b/>
          <w:bCs/>
          <w:color w:val="1F497D"/>
        </w:rPr>
        <w:t>)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*Le personnel commercial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*Les patrons</w:t>
      </w:r>
      <w:r>
        <w:rPr>
          <w:b/>
          <w:bCs/>
          <w:color w:val="1F497D"/>
        </w:rPr>
        <w:t xml:space="preserve"> / dirigeants d’entreprises</w:t>
      </w:r>
      <w:r>
        <w:rPr>
          <w:b/>
          <w:bCs/>
          <w:color w:val="1F497D"/>
        </w:rPr>
        <w:t xml:space="preserve"> s’ils en font la demande.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C’est une charge uniquement patronale.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Organe d’encaissement : la FER à Neuchâtel.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Cotisation : 0.55% du salaire </w:t>
      </w:r>
      <w:proofErr w:type="spellStart"/>
      <w:r>
        <w:rPr>
          <w:b/>
          <w:bCs/>
          <w:color w:val="1F497D"/>
        </w:rPr>
        <w:t>avs</w:t>
      </w:r>
      <w:proofErr w:type="spellEnd"/>
      <w:r>
        <w:rPr>
          <w:b/>
          <w:bCs/>
          <w:color w:val="1F497D"/>
        </w:rPr>
        <w:t xml:space="preserve"> des catégories susmentionnées.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Default="007913BE" w:rsidP="007913BE">
      <w:pPr>
        <w:rPr>
          <w:b/>
          <w:bCs/>
          <w:color w:val="1F497D"/>
        </w:rPr>
      </w:pPr>
    </w:p>
    <w:p w:rsidR="007913BE" w:rsidRPr="007913BE" w:rsidRDefault="007913BE" w:rsidP="007913BE">
      <w:pPr>
        <w:rPr>
          <w:b/>
          <w:bCs/>
          <w:color w:val="1F497D"/>
          <w:u w:val="single"/>
        </w:rPr>
      </w:pPr>
      <w:r w:rsidRPr="007913BE">
        <w:rPr>
          <w:b/>
          <w:bCs/>
          <w:color w:val="1F497D"/>
          <w:u w:val="single"/>
        </w:rPr>
        <w:t>Le cas particulier des patrons</w:t>
      </w:r>
      <w:r>
        <w:rPr>
          <w:b/>
          <w:bCs/>
          <w:color w:val="1F497D"/>
          <w:u w:val="single"/>
        </w:rPr>
        <w:t>/dirigeants d’entreprises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Les patrons / dirigeants d’entreprises peuvent choisir de se soumettre à ce fonds.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Ils doivent en avertir l’organe d’encaissement, la FER à Neuchâtel, au plus tard au moment du décompte final de l’année d’adhésion à l’association. 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Pr="007913BE" w:rsidRDefault="007913BE" w:rsidP="007913BE">
      <w:pPr>
        <w:rPr>
          <w:b/>
          <w:bCs/>
          <w:color w:val="1F497D"/>
          <w:u w:val="single"/>
        </w:rPr>
      </w:pPr>
      <w:r w:rsidRPr="007913BE">
        <w:rPr>
          <w:b/>
          <w:bCs/>
          <w:color w:val="1F497D"/>
          <w:u w:val="single"/>
        </w:rPr>
        <w:t xml:space="preserve">Le fonds/l’ANM rembourse à l’entreprise : 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La 6</w:t>
      </w:r>
      <w:r>
        <w:rPr>
          <w:b/>
          <w:bCs/>
          <w:color w:val="1F497D"/>
          <w:vertAlign w:val="superscript"/>
        </w:rPr>
        <w:t>ème</w:t>
      </w:r>
      <w:r>
        <w:rPr>
          <w:b/>
          <w:bCs/>
          <w:color w:val="1F497D"/>
        </w:rPr>
        <w:t xml:space="preserve"> semaine de vacances du personnel soumis à la CCT</w:t>
      </w:r>
      <w:r>
        <w:rPr>
          <w:b/>
          <w:bCs/>
          <w:color w:val="1F497D"/>
        </w:rPr>
        <w:t xml:space="preserve"> SOR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Une semaine de vacances du personnel technique et commercial (personnel de plus de 50 ans)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Une semaine de vacances des chefs d’entreprise uniquement s’ils se soumettent au fonds (patron</w:t>
      </w:r>
      <w:r>
        <w:rPr>
          <w:b/>
          <w:bCs/>
          <w:color w:val="1F497D"/>
        </w:rPr>
        <w:t>s et dirigeants</w:t>
      </w:r>
      <w:r>
        <w:rPr>
          <w:b/>
          <w:bCs/>
          <w:color w:val="1F497D"/>
        </w:rPr>
        <w:t xml:space="preserve"> de plus de 50 ans).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  <w:u w:val="single"/>
        </w:rPr>
        <w:t>Unique obligation de l’entreprise vis-à-vis de son personnel</w:t>
      </w:r>
      <w:r>
        <w:rPr>
          <w:b/>
          <w:bCs/>
          <w:color w:val="1F497D"/>
        </w:rPr>
        <w:t> :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*Payer 6 semaines de vacances au personnel soumis à la CCT </w:t>
      </w:r>
      <w:r>
        <w:rPr>
          <w:b/>
          <w:bCs/>
          <w:color w:val="1F497D"/>
        </w:rPr>
        <w:t xml:space="preserve">SOR </w:t>
      </w:r>
      <w:r>
        <w:rPr>
          <w:b/>
          <w:bCs/>
          <w:color w:val="1F497D"/>
        </w:rPr>
        <w:t>(personnel d’exploitation</w:t>
      </w:r>
      <w:r>
        <w:rPr>
          <w:b/>
          <w:bCs/>
          <w:color w:val="1F497D"/>
        </w:rPr>
        <w:t xml:space="preserve"> âgé de plus de </w:t>
      </w:r>
      <w:r>
        <w:rPr>
          <w:b/>
          <w:bCs/>
          <w:color w:val="1F497D"/>
        </w:rPr>
        <w:t>50</w:t>
      </w:r>
      <w:r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ans)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>*Même s’il est soumis à ce fonds d’un point de vue base de facturation,</w:t>
      </w:r>
      <w:r>
        <w:rPr>
          <w:b/>
          <w:bCs/>
          <w:color w:val="1F497D"/>
        </w:rPr>
        <w:t xml:space="preserve"> l’entreprise n’a aucune obligation de rembourser une semaine de vacances supplémentaire au </w:t>
      </w:r>
      <w:r>
        <w:rPr>
          <w:b/>
          <w:bCs/>
          <w:color w:val="1F497D"/>
        </w:rPr>
        <w:t>personnel soumis au C</w:t>
      </w:r>
      <w:r>
        <w:rPr>
          <w:b/>
          <w:bCs/>
          <w:color w:val="1F497D"/>
        </w:rPr>
        <w:t>ode des obligations (personnel commercial, technique et dirigeants d’entreprises)</w:t>
      </w:r>
    </w:p>
    <w:p w:rsidR="007913BE" w:rsidRDefault="007913BE" w:rsidP="007913BE">
      <w:pPr>
        <w:rPr>
          <w:b/>
          <w:bCs/>
          <w:color w:val="1F497D"/>
        </w:rPr>
      </w:pPr>
    </w:p>
    <w:p w:rsidR="007913BE" w:rsidRDefault="007913BE" w:rsidP="007913BE">
      <w:pPr>
        <w:rPr>
          <w:b/>
          <w:bCs/>
          <w:color w:val="1F497D"/>
        </w:rPr>
      </w:pPr>
    </w:p>
    <w:p w:rsidR="007913BE" w:rsidRPr="007913BE" w:rsidRDefault="007913BE" w:rsidP="007913BE">
      <w:pPr>
        <w:rPr>
          <w:b/>
          <w:bCs/>
          <w:color w:val="1F497D"/>
          <w:u w:val="single"/>
        </w:rPr>
      </w:pPr>
      <w:r w:rsidRPr="007913BE">
        <w:rPr>
          <w:b/>
          <w:bCs/>
          <w:color w:val="1F497D"/>
          <w:u w:val="single"/>
        </w:rPr>
        <w:t>Démarche</w:t>
      </w:r>
      <w:r>
        <w:rPr>
          <w:b/>
          <w:bCs/>
          <w:color w:val="1F497D"/>
          <w:u w:val="single"/>
        </w:rPr>
        <w:t xml:space="preserve"> pour le </w:t>
      </w:r>
      <w:proofErr w:type="gramStart"/>
      <w:r>
        <w:rPr>
          <w:b/>
          <w:bCs/>
          <w:color w:val="1F497D"/>
          <w:u w:val="single"/>
        </w:rPr>
        <w:t xml:space="preserve">remboursement </w:t>
      </w:r>
      <w:r w:rsidRPr="007913BE">
        <w:rPr>
          <w:b/>
          <w:bCs/>
          <w:color w:val="1F497D"/>
          <w:u w:val="single"/>
        </w:rPr>
        <w:t> :</w:t>
      </w:r>
      <w:proofErr w:type="gramEnd"/>
      <w:r w:rsidRPr="007913BE">
        <w:rPr>
          <w:b/>
          <w:bCs/>
          <w:color w:val="1F497D"/>
          <w:u w:val="single"/>
        </w:rPr>
        <w:t xml:space="preserve"> aucune démarche à entrepr</w:t>
      </w:r>
      <w:r>
        <w:rPr>
          <w:b/>
          <w:bCs/>
          <w:color w:val="1F497D"/>
          <w:u w:val="single"/>
        </w:rPr>
        <w:t>endre</w:t>
      </w:r>
    </w:p>
    <w:p w:rsidR="007913BE" w:rsidRDefault="007913BE" w:rsidP="007913B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Le secrétariat </w:t>
      </w:r>
      <w:r>
        <w:rPr>
          <w:b/>
          <w:bCs/>
          <w:color w:val="1F497D"/>
        </w:rPr>
        <w:t xml:space="preserve">effectue ses calculs de remboursement en utilisant les décomptes définitifs remis par l’organe d’encaissement, la </w:t>
      </w:r>
      <w:proofErr w:type="gramStart"/>
      <w:r>
        <w:rPr>
          <w:b/>
          <w:bCs/>
          <w:color w:val="1F497D"/>
        </w:rPr>
        <w:t>FER  Neuchâtel</w:t>
      </w:r>
      <w:proofErr w:type="gramEnd"/>
      <w:r>
        <w:rPr>
          <w:b/>
          <w:bCs/>
          <w:color w:val="1F497D"/>
        </w:rPr>
        <w:t>.</w:t>
      </w:r>
    </w:p>
    <w:p w:rsidR="007913BE" w:rsidRDefault="007913BE" w:rsidP="007913BE">
      <w:pPr>
        <w:rPr>
          <w:b/>
          <w:bCs/>
          <w:color w:val="1F497D"/>
        </w:rPr>
      </w:pPr>
    </w:p>
    <w:p w:rsidR="00897CEA" w:rsidRDefault="00897CEA">
      <w:bookmarkStart w:id="0" w:name="_GoBack"/>
      <w:bookmarkEnd w:id="0"/>
    </w:p>
    <w:sectPr w:rsidR="0089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BE"/>
    <w:rsid w:val="007913BE"/>
    <w:rsid w:val="008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F537B"/>
  <w15:chartTrackingRefBased/>
  <w15:docId w15:val="{5B4F3495-0B87-4E0D-8726-7738C84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B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Douillet</dc:creator>
  <cp:keywords/>
  <dc:description/>
  <cp:lastModifiedBy>Sylvie Douillet</cp:lastModifiedBy>
  <cp:revision>1</cp:revision>
  <dcterms:created xsi:type="dcterms:W3CDTF">2020-04-04T13:55:00Z</dcterms:created>
  <dcterms:modified xsi:type="dcterms:W3CDTF">2020-04-04T14:03:00Z</dcterms:modified>
</cp:coreProperties>
</file>